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42F" w:rsidRDefault="0042142F" w:rsidP="0042142F">
      <w:pPr>
        <w:ind w:right="282"/>
        <w:jc w:val="both"/>
        <w:rPr>
          <w:rFonts w:ascii="Verdana" w:hAnsi="Verdana"/>
        </w:rPr>
      </w:pPr>
    </w:p>
    <w:p w:rsidR="00F7360C" w:rsidRPr="00132831" w:rsidRDefault="00B461D9" w:rsidP="00BB4080">
      <w:pPr>
        <w:ind w:right="282"/>
        <w:jc w:val="both"/>
        <w:rPr>
          <w:rFonts w:ascii="Verdana" w:eastAsia="Times New Roman" w:hAnsi="Verdana" w:cs="Times New Roman"/>
        </w:rPr>
      </w:pPr>
      <w:r>
        <w:rPr>
          <w:rFonts w:ascii="Verdana" w:hAnsi="Verdana"/>
        </w:rPr>
        <w:t>Roma</w:t>
      </w:r>
      <w:r w:rsidR="00F51B1B" w:rsidRPr="00CA5F9E">
        <w:rPr>
          <w:rFonts w:ascii="Verdana" w:hAnsi="Verdana"/>
        </w:rPr>
        <w:t>,</w:t>
      </w:r>
      <w:r w:rsidR="005C3593">
        <w:rPr>
          <w:rFonts w:ascii="Verdana" w:hAnsi="Verdana"/>
        </w:rPr>
        <w:t xml:space="preserve"> 19 novembre 2020</w:t>
      </w:r>
      <w:r w:rsidR="00314CA0">
        <w:rPr>
          <w:rFonts w:ascii="Verdana" w:hAnsi="Verdana"/>
        </w:rPr>
        <w:t xml:space="preserve"> </w:t>
      </w:r>
    </w:p>
    <w:p w:rsidR="003D32B0" w:rsidRDefault="003D32B0" w:rsidP="00E2018E">
      <w:pPr>
        <w:ind w:right="282"/>
        <w:jc w:val="both"/>
        <w:rPr>
          <w:rFonts w:ascii="Verdana" w:hAnsi="Verdana"/>
        </w:rPr>
      </w:pPr>
    </w:p>
    <w:p w:rsidR="00140282" w:rsidRPr="00140282" w:rsidRDefault="00140282" w:rsidP="00140282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  <w:r w:rsidRPr="00140282">
        <w:rPr>
          <w:rFonts w:ascii="Verdana" w:eastAsia="Times New Roman" w:hAnsi="Verdana" w:cs="Times New Roman"/>
          <w:b/>
        </w:rPr>
        <w:t>OSSERVATORIO INPS SUL PRECARIATO GENNAIO-AGOSTO 2020</w:t>
      </w:r>
    </w:p>
    <w:p w:rsidR="00140282" w:rsidRPr="00140282" w:rsidRDefault="00140282" w:rsidP="00140282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</w:p>
    <w:p w:rsidR="00140282" w:rsidRPr="00140282" w:rsidRDefault="00140282" w:rsidP="00140282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  <w:r w:rsidRPr="00140282">
        <w:rPr>
          <w:rFonts w:ascii="Verdana" w:eastAsia="Times New Roman" w:hAnsi="Verdana" w:cs="Times New Roman"/>
          <w:b/>
        </w:rPr>
        <w:t xml:space="preserve">NONOSTANTE AGOSTO POSITIVO, NEI PRIMI 8 MESI PESANTE EFFETTO COVID SU ASSUNZIONI (-35%), </w:t>
      </w:r>
    </w:p>
    <w:p w:rsidR="00140282" w:rsidRPr="00140282" w:rsidRDefault="00140282" w:rsidP="00140282">
      <w:pPr>
        <w:spacing w:after="0" w:line="240" w:lineRule="auto"/>
        <w:jc w:val="center"/>
        <w:rPr>
          <w:rFonts w:ascii="Verdana" w:eastAsia="Times New Roman" w:hAnsi="Verdana" w:cs="Times New Roman"/>
          <w:b/>
        </w:rPr>
      </w:pPr>
      <w:r w:rsidRPr="00140282">
        <w:rPr>
          <w:rFonts w:ascii="Verdana" w:eastAsia="Times New Roman" w:hAnsi="Verdana" w:cs="Times New Roman"/>
          <w:b/>
        </w:rPr>
        <w:t>TRASFORMAZIONI (-32%) E CPO, FRENANO LE CESSAZIONI (-21%)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bookmarkStart w:id="0" w:name="_GoBack"/>
      <w:bookmarkEnd w:id="0"/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bookmarkStart w:id="1" w:name="OLE_LINK2"/>
      <w:bookmarkStart w:id="2" w:name="OLE_LINK1"/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r w:rsidRPr="005C3593">
        <w:rPr>
          <w:rFonts w:ascii="Verdana" w:eastAsia="Times New Roman" w:hAnsi="Verdana" w:cs="Times New Roman"/>
          <w:b/>
        </w:rPr>
        <w:t>LA DINAMICA DEI FLUSSI</w:t>
      </w:r>
    </w:p>
    <w:bookmarkEnd w:id="1"/>
    <w:bookmarkEnd w:id="2"/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  <w:r w:rsidRPr="005C3593">
        <w:rPr>
          <w:rFonts w:ascii="Verdana" w:eastAsia="Times New Roman" w:hAnsi="Verdana" w:cs="Times New Roman"/>
        </w:rPr>
        <w:t xml:space="preserve">Le </w:t>
      </w:r>
      <w:r w:rsidRPr="005C3593">
        <w:rPr>
          <w:rFonts w:ascii="Verdana" w:eastAsia="Times New Roman" w:hAnsi="Verdana" w:cs="Times New Roman"/>
          <w:b/>
        </w:rPr>
        <w:t xml:space="preserve">assunzioni </w:t>
      </w:r>
      <w:r w:rsidRPr="005C3593">
        <w:rPr>
          <w:rFonts w:ascii="Verdana" w:eastAsia="Times New Roman" w:hAnsi="Verdana" w:cs="Times New Roman"/>
          <w:bCs/>
        </w:rPr>
        <w:t>attivate dai</w:t>
      </w:r>
      <w:r w:rsidRPr="005C3593">
        <w:rPr>
          <w:rFonts w:ascii="Verdana" w:eastAsia="Times New Roman" w:hAnsi="Verdana" w:cs="Times New Roman"/>
          <w:b/>
        </w:rPr>
        <w:t xml:space="preserve"> </w:t>
      </w:r>
      <w:r w:rsidRPr="005C3593">
        <w:rPr>
          <w:rFonts w:ascii="Verdana" w:eastAsia="Times New Roman" w:hAnsi="Verdana" w:cs="Times New Roman"/>
        </w:rPr>
        <w:t xml:space="preserve">datori di lavoro privati nei primi otto mesi del 2020 sono state </w:t>
      </w:r>
      <w:r w:rsidRPr="005C3593">
        <w:rPr>
          <w:rFonts w:ascii="Verdana" w:eastAsia="Times New Roman" w:hAnsi="Verdana" w:cs="Times New Roman"/>
          <w:b/>
          <w:bCs/>
        </w:rPr>
        <w:t>3.305.000</w:t>
      </w:r>
      <w:r w:rsidRPr="005C3593">
        <w:rPr>
          <w:rFonts w:ascii="Verdana" w:eastAsia="Times New Roman" w:hAnsi="Verdana" w:cs="Times New Roman"/>
        </w:rPr>
        <w:t xml:space="preserve">. Rispetto allo stesso periodo del 2019 la contrazione risulta molto forte (-35%) per effetto dell’emergenza legata alla pandemia Covid-19 con le conseguenti restrizioni a partire da marzo (chiusura delle attività non essenziali, limitazioni della mobilità individuale) e la conseguente caduta della produzione e dei consumi. Tale contrazione, particolarmente negativa nel mese di aprile (-83%), è risultata progressivamente attenuarsi, in corrispondenza dell’allentamento delle misure restrittive, scendendo sotto il 20% sia in luglio che in agosto. Il calo ha riguardato tutte le tipologie contrattuali, risultando però particolarmente accentuato per le assunzioni con contratti di lavoro a termine (intermittenti, somministrati, a tempo determinato).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r w:rsidRPr="005C3593">
        <w:rPr>
          <w:rFonts w:ascii="Verdana" w:eastAsia="Times New Roman" w:hAnsi="Verdana" w:cs="Times New Roman"/>
        </w:rPr>
        <w:t xml:space="preserve">Le </w:t>
      </w:r>
      <w:r w:rsidRPr="005C3593">
        <w:rPr>
          <w:rFonts w:ascii="Verdana" w:eastAsia="Times New Roman" w:hAnsi="Verdana" w:cs="Times New Roman"/>
          <w:b/>
        </w:rPr>
        <w:t>trasformazioni</w:t>
      </w:r>
      <w:r w:rsidRPr="005C3593">
        <w:rPr>
          <w:rFonts w:ascii="Verdana" w:eastAsia="Times New Roman" w:hAnsi="Verdana" w:cs="Times New Roman"/>
        </w:rPr>
        <w:t xml:space="preserve"> da tempo determinato nel periodo gennaio-agosto 2020 sono risultate 336.000, anch’esse in flessione rispetto allo stesso periodo del 2019 (-32%; -29% per il mese di agosto); è però da ricordare che, nel corso del 2019, il volume delle trasformazioni era risultato eccezionalmente elevato </w:t>
      </w:r>
      <w:r w:rsidR="00140282">
        <w:rPr>
          <w:rFonts w:ascii="Verdana" w:eastAsia="Times New Roman" w:hAnsi="Verdana" w:cs="Times New Roman"/>
        </w:rPr>
        <w:t xml:space="preserve">(712.000) </w:t>
      </w:r>
      <w:r w:rsidRPr="005C3593">
        <w:rPr>
          <w:rFonts w:ascii="Verdana" w:eastAsia="Times New Roman" w:hAnsi="Verdana" w:cs="Times New Roman"/>
        </w:rPr>
        <w:t xml:space="preserve">anche per effetto delle modifiche normative dovute al “Decreto dignità”. Le conferme di rapporti di apprendistato giunti alla conclusione del periodo formativo risultano invece per il periodo gennaio-agosto 2020 ancora in crescita (+11% sul corrispondente periodo 2019).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tabs>
          <w:tab w:val="left" w:pos="7371"/>
        </w:tabs>
        <w:spacing w:after="0" w:line="240" w:lineRule="auto"/>
        <w:jc w:val="both"/>
        <w:rPr>
          <w:rFonts w:ascii="Verdana" w:eastAsia="Times New Roman" w:hAnsi="Verdana" w:cs="Times New Roman"/>
        </w:rPr>
      </w:pPr>
      <w:r w:rsidRPr="005C3593">
        <w:rPr>
          <w:rFonts w:ascii="Verdana" w:eastAsia="Times New Roman" w:hAnsi="Verdana" w:cs="Times New Roman"/>
        </w:rPr>
        <w:t xml:space="preserve">Le </w:t>
      </w:r>
      <w:r w:rsidRPr="005C3593">
        <w:rPr>
          <w:rFonts w:ascii="Verdana" w:eastAsia="Times New Roman" w:hAnsi="Verdana" w:cs="Times New Roman"/>
          <w:b/>
        </w:rPr>
        <w:t xml:space="preserve">cessazioni </w:t>
      </w:r>
      <w:r w:rsidRPr="005C3593">
        <w:rPr>
          <w:rFonts w:ascii="Verdana" w:eastAsia="Times New Roman" w:hAnsi="Verdana" w:cs="Times New Roman"/>
        </w:rPr>
        <w:t xml:space="preserve">nel complesso sono state </w:t>
      </w:r>
      <w:r w:rsidRPr="005C3593">
        <w:rPr>
          <w:rFonts w:ascii="Verdana" w:eastAsia="Times New Roman" w:hAnsi="Verdana" w:cs="Times New Roman"/>
          <w:b/>
        </w:rPr>
        <w:t>3.330.000</w:t>
      </w:r>
      <w:r w:rsidRPr="005C3593">
        <w:rPr>
          <w:rFonts w:ascii="Verdana" w:eastAsia="Times New Roman" w:hAnsi="Verdana" w:cs="Times New Roman"/>
        </w:rPr>
        <w:t>, in forte diminuzione rispetto allo stesso periodo dell’anno precedente (-21%). Tale diminuzione è stata particolarmente accentuata per i contratti a tempo indeterminato e di apprendistato nel periodo marzo-agosto (rispettivamente -35% e -28% sullo stesso periodo dell’anno precedente) per effetto anche dell’introduzione il 17 marzo (DL n. 18, 2020, “</w:t>
      </w:r>
      <w:proofErr w:type="spellStart"/>
      <w:r w:rsidRPr="005C3593">
        <w:rPr>
          <w:rFonts w:ascii="Verdana" w:eastAsia="Times New Roman" w:hAnsi="Verdana" w:cs="Times New Roman"/>
        </w:rPr>
        <w:t>CuraItalia</w:t>
      </w:r>
      <w:proofErr w:type="spellEnd"/>
      <w:r w:rsidRPr="005C3593">
        <w:rPr>
          <w:rFonts w:ascii="Verdana" w:eastAsia="Times New Roman" w:hAnsi="Verdana" w:cs="Times New Roman"/>
        </w:rPr>
        <w:t xml:space="preserve">”) e la successiva riconferma (DL n. 34, 2020, “Rilancio”) del divieto di licenziamento per ragioni economiche. Tale divieto è stato riconfermato anche dal DL n. 104, 2020, “Agosto”, con qualche marginale attenuazione (in particolare è consentito il licenziamento in caso di </w:t>
      </w:r>
      <w:r w:rsidRPr="005C3593">
        <w:rPr>
          <w:rFonts w:ascii="Verdana" w:eastAsia="Times New Roman" w:hAnsi="Verdana" w:cs="Times New Roman"/>
        </w:rPr>
        <w:lastRenderedPageBreak/>
        <w:t>cessazione dell’azienda). Assai significativa anche la contrazione dei rapporti di somministrazione (-33% nel periodo marzo-agosto sul corrispondente periodo 2019).</w:t>
      </w:r>
    </w:p>
    <w:p w:rsidR="005C3593" w:rsidRPr="005C3593" w:rsidRDefault="005C3593" w:rsidP="005C3593">
      <w:pPr>
        <w:tabs>
          <w:tab w:val="left" w:pos="7371"/>
        </w:tabs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tabs>
          <w:tab w:val="left" w:pos="7371"/>
        </w:tabs>
        <w:spacing w:after="0" w:line="240" w:lineRule="auto"/>
        <w:jc w:val="both"/>
        <w:rPr>
          <w:rFonts w:ascii="Verdana" w:eastAsia="Times New Roman" w:hAnsi="Verdana" w:cs="Times New Roman"/>
        </w:rPr>
      </w:pPr>
      <w:r w:rsidRPr="005C3593">
        <w:rPr>
          <w:rFonts w:ascii="Verdana" w:eastAsia="Times New Roman" w:hAnsi="Verdana" w:cs="Times New Roman"/>
        </w:rPr>
        <w:t>Nel periodo gennaio-agosto 2020, 50.486 rapporti di lavoro (27.505 assunzioni e 22.981 trasformazioni a tempo indeterminato) hanno usufruito dei benefici previsti dall’esonero triennale strutturale per le attivazioni di contratti a tempo indeterminato di giovani fino a 35 anni (legge n. 205/2017), valore in diminuzione rispetto allo stesso periodo dell’anno precedente (-32%). I rapporti incentivati costituiscono il 5% del totale dei rapporti a tempo indeterminato attivati (assunzioni + trasformazioni).</w:t>
      </w:r>
    </w:p>
    <w:p w:rsidR="005C3593" w:rsidRPr="005C3593" w:rsidRDefault="005C3593" w:rsidP="005C3593">
      <w:pPr>
        <w:tabs>
          <w:tab w:val="left" w:pos="7371"/>
        </w:tabs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r w:rsidRPr="005C3593">
        <w:rPr>
          <w:rFonts w:ascii="Verdana" w:eastAsia="Times New Roman" w:hAnsi="Verdana" w:cs="Times New Roman"/>
          <w:b/>
        </w:rPr>
        <w:t>LA CONSISTENZA DEI RAPPORTI DI LAVORO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  <w:r w:rsidRPr="005C3593">
        <w:rPr>
          <w:rFonts w:ascii="Verdana" w:eastAsia="Times New Roman" w:hAnsi="Verdana" w:cs="Times New Roman"/>
        </w:rPr>
        <w:t xml:space="preserve">Il </w:t>
      </w:r>
      <w:r w:rsidRPr="005C3593">
        <w:rPr>
          <w:rFonts w:ascii="Verdana" w:eastAsia="Times New Roman" w:hAnsi="Verdana" w:cs="Times New Roman"/>
          <w:b/>
          <w:bCs/>
        </w:rPr>
        <w:t xml:space="preserve">saldo annualizzato, </w:t>
      </w:r>
      <w:r w:rsidRPr="005C3593">
        <w:rPr>
          <w:rFonts w:ascii="Verdana" w:eastAsia="Times New Roman" w:hAnsi="Verdana" w:cs="Times New Roman"/>
        </w:rPr>
        <w:t xml:space="preserve">vale a dire la differenza tra i flussi di assunzioni e cessazioni negli ultimi dodici mesi, identifica la </w:t>
      </w:r>
      <w:r w:rsidRPr="005C3593">
        <w:rPr>
          <w:rFonts w:ascii="Verdana" w:eastAsia="Times New Roman" w:hAnsi="Verdana" w:cs="Times New Roman"/>
          <w:b/>
          <w:bCs/>
        </w:rPr>
        <w:t>variazione tendenziale</w:t>
      </w:r>
      <w:r w:rsidRPr="005C3593">
        <w:rPr>
          <w:rFonts w:ascii="Verdana" w:eastAsia="Times New Roman" w:hAnsi="Verdana" w:cs="Times New Roman"/>
        </w:rPr>
        <w:t xml:space="preserve"> delle posizioni di lavoro (differenza tra le posizioni di lavoro in essere alla fine del mese osservato rispetto al valore analogo alla medesima data dell’anno precedente).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r w:rsidRPr="005C3593">
        <w:rPr>
          <w:rFonts w:ascii="Verdana" w:eastAsia="Times New Roman" w:hAnsi="Verdana" w:cs="Times New Roman"/>
        </w:rPr>
        <w:t xml:space="preserve">Esso, in progressiva flessione già nel corso della seconda metà del 2019, è divenuto </w:t>
      </w:r>
      <w:r w:rsidRPr="005C3593">
        <w:rPr>
          <w:rFonts w:ascii="Verdana" w:eastAsia="Times New Roman" w:hAnsi="Verdana" w:cs="Times New Roman"/>
          <w:b/>
          <w:bCs/>
        </w:rPr>
        <w:t>negativo a febbraio</w:t>
      </w:r>
      <w:r w:rsidRPr="005C3593">
        <w:rPr>
          <w:rFonts w:ascii="Verdana" w:eastAsia="Times New Roman" w:hAnsi="Verdana" w:cs="Times New Roman"/>
        </w:rPr>
        <w:t xml:space="preserve"> (-27.000) ed è peggiorato a causa della caduta dell’attività produttiva conseguente all’emergenza sanitaria,</w:t>
      </w:r>
      <w:r w:rsidRPr="005C3593">
        <w:rPr>
          <w:rFonts w:ascii="Verdana" w:eastAsia="Times New Roman" w:hAnsi="Verdana" w:cs="Times New Roman"/>
          <w:b/>
          <w:bCs/>
        </w:rPr>
        <w:t xml:space="preserve"> soprattutto a marzo (-281.000) e ad aprile (-619.000). Successivamente la dinamica negativa è proseguita seppur con un ritmo in progressivo rallentamento, raggiungendo il valore massimo a giugno (-812.000). A luglio si è avviata un’inversione di tendenza (– 764.000) proseguita modestamente anche in agosto (-723.000).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</w:rPr>
      </w:pPr>
      <w:r w:rsidRPr="005C3593">
        <w:rPr>
          <w:rFonts w:ascii="Verdana" w:eastAsia="Times New Roman" w:hAnsi="Verdana" w:cs="Times New Roman"/>
        </w:rPr>
        <w:t xml:space="preserve">Ad agosto 2020 rimangono ancora positivi, pur continuando sempre a ridursi, i saldi annualizzati dei rapporti di lavoro a tempo indeterminato (+207.000) e dell’apprendistato (+18.000). L’impatto del Covid-19, interessando fortemente tutte le tipologie di contratti a termine, ne ha accentuato le tendenze al ripiegamento, già in essere dal 2019. Tra luglio (per i contratti a tempo determinato e per gli stagionali) e agosto (per i contratti di somministrazione e gli intermittenti) tale tendenza risulta invertita o arrestata, pur rimanendo ancora largamente negativi i saldi su base annua.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  <w:highlight w:val="yellow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  <w:highlight w:val="yellow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b/>
        </w:rPr>
      </w:pPr>
      <w:r w:rsidRPr="005C3593">
        <w:rPr>
          <w:rFonts w:ascii="Verdana" w:eastAsia="Times New Roman" w:hAnsi="Verdana" w:cs="Times New Roman"/>
          <w:b/>
        </w:rPr>
        <w:t xml:space="preserve">IL LAVORO OCCASIONALE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</w:pPr>
      <w:r w:rsidRPr="005C3593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Il </w:t>
      </w:r>
      <w:proofErr w:type="spellStart"/>
      <w:r w:rsidRPr="005C3593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Covid</w:t>
      </w:r>
      <w:proofErr w:type="spellEnd"/>
      <w:r w:rsidRPr="005C3593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 xml:space="preserve"> 19 ha determinato anche la contrazione dei lavoratori impiegati con Contratti di Prestazione Occasionale (CPO): ad aprile essa risultava pari al – 78%; nei mesi successivi si è progressivamente attenuata fino al -10% di agosto (15.300 lavoratori impegnati contro 17.000 ad agosto 2019). L’importo medio mensile lordo della remunerazione effettiva risulta ad agosto pari a 285 euro, in crescita rispetto all’anno precedente. 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5C3593">
        <w:rPr>
          <w:rFonts w:ascii="Tahoma" w:eastAsia="Times New Roman" w:hAnsi="Tahoma" w:cs="Tahoma"/>
          <w:color w:val="212121"/>
          <w:sz w:val="23"/>
          <w:szCs w:val="23"/>
          <w:shd w:val="clear" w:color="auto" w:fill="FFFFFF"/>
        </w:rPr>
        <w:t>Per quanto attiene ai lavoratori pagati con i titoli del Libretto Famiglia (LF), ad agosto 2020 essi risultano circa 82.000. Rispetto al 2019, a partire da marzo 2020, si registra uno sviluppo enorme dell’utilizzo del Libretto Famiglia: basti dire che se nel 2019 i lavoratori interessati (in almeno un mese dell’anno) erano stati 21.400, nel 2020 risultano, fino ad agosto, 539.000. Questo incremento straordinario è da ricondurre essenzialmente all’introduzione del bonus per l’acquisto di servizi di baby-sitting previsto dall’articolo 23 comma 8 del DL n. 18/2020 (decreto “Cura Italia”), pagati con titoli del libretto famiglia. L’importo medio mensile lordo della remunerazione di questi lavoratori risulta a partire da marzo intorno ai 500-600 euro (nel 2019 la media mensile era pari a 212 euro).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5C3593">
        <w:rPr>
          <w:rFonts w:ascii="Verdana" w:eastAsia="Times New Roman" w:hAnsi="Verdana" w:cs="Times New Roman"/>
          <w:sz w:val="18"/>
          <w:szCs w:val="18"/>
        </w:rPr>
        <w:t>I dati completi sono consultabili sulla home page del sito istituzionale dell’Inps (www.inps.it) nella sezione Dati e analisi/Osservatori Statistici, report dal titolo “Osservatorio sul precariato”.</w:t>
      </w: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5C3593" w:rsidRPr="005C3593" w:rsidRDefault="005C3593" w:rsidP="005C3593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5C3593" w:rsidRPr="00132831" w:rsidRDefault="005C3593" w:rsidP="00E2018E">
      <w:pPr>
        <w:ind w:right="282"/>
        <w:jc w:val="both"/>
        <w:rPr>
          <w:rFonts w:ascii="Verdana" w:hAnsi="Verdana"/>
        </w:rPr>
      </w:pPr>
    </w:p>
    <w:sectPr w:rsidR="005C3593" w:rsidRPr="00132831" w:rsidSect="005C3593">
      <w:footerReference w:type="default" r:id="rId8"/>
      <w:headerReference w:type="first" r:id="rId9"/>
      <w:footerReference w:type="first" r:id="rId10"/>
      <w:pgSz w:w="11906" w:h="16838"/>
      <w:pgMar w:top="1417" w:right="1134" w:bottom="2127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450" w:rsidRDefault="00EE7450" w:rsidP="008608E1">
      <w:pPr>
        <w:spacing w:after="0" w:line="240" w:lineRule="auto"/>
      </w:pPr>
      <w:r>
        <w:separator/>
      </w:r>
    </w:p>
  </w:endnote>
  <w:endnote w:type="continuationSeparator" w:id="0">
    <w:p w:rsidR="00EE7450" w:rsidRDefault="00EE7450" w:rsidP="0086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BA6BAB" w:rsidP="00263412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70990B0" wp14:editId="4500BA7B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tel</w:t>
                          </w:r>
                          <w:proofErr w:type="spellEnd"/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+39 06 5905 5085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ufficio.stampa@inps.it</w:t>
                          </w:r>
                        </w:p>
                        <w:p w:rsidR="00A56B08" w:rsidRPr="00CA5F9E" w:rsidRDefault="00A56B08" w:rsidP="00A56B08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099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proofErr w:type="spellStart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tel</w:t>
                    </w:r>
                    <w:proofErr w:type="spellEnd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+39 06 5905 5085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ufficio.stampa@inps.it</w:t>
                    </w:r>
                  </w:p>
                  <w:p w:rsidR="00A56B08" w:rsidRPr="00CA5F9E" w:rsidRDefault="00A56B08" w:rsidP="00A56B08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2A39" w:rsidRDefault="00682A39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060E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asella di testo 4" o:spid="_x0000_s1027" type="#_x0000_t202" style="position:absolute;left:0;text-align:left;margin-left:472.05pt;margin-top:781.5pt;width:27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682A39" w:rsidRDefault="00682A39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060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D7BD5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C90739" wp14:editId="2926F180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54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D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A57096" wp14:editId="6CDCFC29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AA50FD" id="Connettore 1 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7A1" w:rsidRDefault="00BA6BAB" w:rsidP="003437A1">
    <w:pPr>
      <w:pStyle w:val="Pidipagina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7C0524C" wp14:editId="4821DD43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AB0B9" id="Connettore 1 1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B461D9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44780" cy="144780"/>
                                <wp:effectExtent l="0" t="0" r="7620" b="7620"/>
                                <wp:docPr id="56" name="Immagine 56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+39 </w:t>
                          </w:r>
                          <w:r w:rsidR="000150B4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06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5905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5085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37160" cy="137160"/>
                                <wp:effectExtent l="0" t="0" r="0" b="0"/>
                                <wp:docPr id="57" name="Immagine 57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@inps.it</w:t>
                          </w:r>
                        </w:p>
                        <w:p w:rsidR="00EA1DC0" w:rsidRPr="00CA5F9E" w:rsidRDefault="00EA1DC0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8608E1" w:rsidRPr="00CA5F9E" w:rsidRDefault="00B461D9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44780" cy="144780"/>
                          <wp:effectExtent l="0" t="0" r="7620" b="7620"/>
                          <wp:docPr id="56" name="Immagine 56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+39 </w:t>
                    </w:r>
                    <w:r w:rsidR="000150B4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06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5905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5085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37160" cy="137160"/>
                          <wp:effectExtent l="0" t="0" r="0" b="0"/>
                          <wp:docPr id="57" name="Immagine 57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ufficio.stampa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@inps.it</w:t>
                    </w:r>
                  </w:p>
                  <w:p w:rsidR="00EA1DC0" w:rsidRPr="00CA5F9E" w:rsidRDefault="00EA1DC0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437A1">
      <w:tab/>
    </w:r>
    <w:r w:rsidR="001022C2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450" w:rsidRDefault="00EE7450" w:rsidP="008608E1">
      <w:pPr>
        <w:spacing w:after="0" w:line="240" w:lineRule="auto"/>
      </w:pPr>
      <w:r>
        <w:separator/>
      </w:r>
    </w:p>
  </w:footnote>
  <w:footnote w:type="continuationSeparator" w:id="0">
    <w:p w:rsidR="00EE7450" w:rsidRDefault="00EE7450" w:rsidP="0086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8608E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Direzione centrale </w:t>
                          </w:r>
                          <w:r w:rsidR="00FA657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Organizzazione e Comunicazione</w:t>
                          </w:r>
                        </w:p>
                        <w:p w:rsidR="008608E1" w:rsidRPr="00CA5F9E" w:rsidRDefault="00B461D9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 Relazioni con i Media</w:t>
                          </w:r>
                        </w:p>
                        <w:p w:rsidR="0042142F" w:rsidRDefault="0042142F" w:rsidP="0042142F">
                          <w:pPr>
                            <w:spacing w:after="0"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8608E1" w:rsidRPr="0042142F" w:rsidRDefault="0042142F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Direzione centrale </w:t>
                    </w:r>
                    <w:r w:rsidR="00FA6579">
                      <w:rPr>
                        <w:rFonts w:ascii="Gill Sans MT" w:hAnsi="Gill Sans MT"/>
                        <w:sz w:val="20"/>
                        <w:szCs w:val="20"/>
                      </w:rPr>
                      <w:t>Organizzazione e Comunicazione</w:t>
                    </w:r>
                  </w:p>
                  <w:p w:rsidR="008608E1" w:rsidRPr="00CA5F9E" w:rsidRDefault="00B461D9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Ufficio Relazioni con i Media</w:t>
                    </w:r>
                  </w:p>
                  <w:p w:rsidR="0042142F" w:rsidRDefault="0042142F" w:rsidP="0042142F">
                    <w:pPr>
                      <w:spacing w:after="0"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8608E1" w:rsidRPr="0042142F" w:rsidRDefault="0042142F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16E535AF" wp14:editId="72492AAD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C1E93"/>
    <w:multiLevelType w:val="hybridMultilevel"/>
    <w:tmpl w:val="34145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B42"/>
    <w:rsid w:val="000150B4"/>
    <w:rsid w:val="000561B8"/>
    <w:rsid w:val="000878C2"/>
    <w:rsid w:val="000A7648"/>
    <w:rsid w:val="000B100D"/>
    <w:rsid w:val="000E56D9"/>
    <w:rsid w:val="000E7B9D"/>
    <w:rsid w:val="000F07C9"/>
    <w:rsid w:val="001005DB"/>
    <w:rsid w:val="001022C2"/>
    <w:rsid w:val="00132831"/>
    <w:rsid w:val="00140282"/>
    <w:rsid w:val="00154A54"/>
    <w:rsid w:val="00196180"/>
    <w:rsid w:val="00197C85"/>
    <w:rsid w:val="001B4E10"/>
    <w:rsid w:val="001D4C15"/>
    <w:rsid w:val="001D50E8"/>
    <w:rsid w:val="00220AF2"/>
    <w:rsid w:val="00241A6B"/>
    <w:rsid w:val="00263402"/>
    <w:rsid w:val="00263412"/>
    <w:rsid w:val="00314CA0"/>
    <w:rsid w:val="003232DD"/>
    <w:rsid w:val="00342D79"/>
    <w:rsid w:val="003437A1"/>
    <w:rsid w:val="003C1EED"/>
    <w:rsid w:val="003D32B0"/>
    <w:rsid w:val="003E5E48"/>
    <w:rsid w:val="003E7FDC"/>
    <w:rsid w:val="00411C93"/>
    <w:rsid w:val="0042142F"/>
    <w:rsid w:val="004717B6"/>
    <w:rsid w:val="004D0EFA"/>
    <w:rsid w:val="004F7560"/>
    <w:rsid w:val="00574D9E"/>
    <w:rsid w:val="005A3056"/>
    <w:rsid w:val="005B1417"/>
    <w:rsid w:val="005C3593"/>
    <w:rsid w:val="005D580A"/>
    <w:rsid w:val="00661DBE"/>
    <w:rsid w:val="00682A39"/>
    <w:rsid w:val="00686230"/>
    <w:rsid w:val="00693673"/>
    <w:rsid w:val="006A7F50"/>
    <w:rsid w:val="006B27E0"/>
    <w:rsid w:val="006E3D68"/>
    <w:rsid w:val="00702A63"/>
    <w:rsid w:val="00714D10"/>
    <w:rsid w:val="007165AF"/>
    <w:rsid w:val="007230AC"/>
    <w:rsid w:val="00760AB7"/>
    <w:rsid w:val="007747BD"/>
    <w:rsid w:val="0078756F"/>
    <w:rsid w:val="007B506D"/>
    <w:rsid w:val="007D69F8"/>
    <w:rsid w:val="00800B42"/>
    <w:rsid w:val="00825D54"/>
    <w:rsid w:val="008425F7"/>
    <w:rsid w:val="008608E1"/>
    <w:rsid w:val="008713AA"/>
    <w:rsid w:val="00874FD2"/>
    <w:rsid w:val="008974FC"/>
    <w:rsid w:val="008B6669"/>
    <w:rsid w:val="008D4ED9"/>
    <w:rsid w:val="008E6513"/>
    <w:rsid w:val="008F25EB"/>
    <w:rsid w:val="008F308A"/>
    <w:rsid w:val="00946EA0"/>
    <w:rsid w:val="00983D6B"/>
    <w:rsid w:val="00994025"/>
    <w:rsid w:val="00A337D0"/>
    <w:rsid w:val="00A375B7"/>
    <w:rsid w:val="00A56B08"/>
    <w:rsid w:val="00A92D90"/>
    <w:rsid w:val="00AE5AB0"/>
    <w:rsid w:val="00B12747"/>
    <w:rsid w:val="00B138AC"/>
    <w:rsid w:val="00B374D7"/>
    <w:rsid w:val="00B461D9"/>
    <w:rsid w:val="00B6799C"/>
    <w:rsid w:val="00B720E5"/>
    <w:rsid w:val="00BA2A6B"/>
    <w:rsid w:val="00BA6BAB"/>
    <w:rsid w:val="00BB4080"/>
    <w:rsid w:val="00BF58C3"/>
    <w:rsid w:val="00C060E2"/>
    <w:rsid w:val="00C12A20"/>
    <w:rsid w:val="00C32C51"/>
    <w:rsid w:val="00CA5F9E"/>
    <w:rsid w:val="00CD7BD5"/>
    <w:rsid w:val="00D009CE"/>
    <w:rsid w:val="00D4761D"/>
    <w:rsid w:val="00D72F43"/>
    <w:rsid w:val="00D767E4"/>
    <w:rsid w:val="00D9518A"/>
    <w:rsid w:val="00DB04B6"/>
    <w:rsid w:val="00DC03DD"/>
    <w:rsid w:val="00E00044"/>
    <w:rsid w:val="00E01956"/>
    <w:rsid w:val="00E2018E"/>
    <w:rsid w:val="00E22075"/>
    <w:rsid w:val="00E34EA3"/>
    <w:rsid w:val="00E64612"/>
    <w:rsid w:val="00E84711"/>
    <w:rsid w:val="00EA1DC0"/>
    <w:rsid w:val="00EE63F1"/>
    <w:rsid w:val="00EE7450"/>
    <w:rsid w:val="00EF3125"/>
    <w:rsid w:val="00F51B1B"/>
    <w:rsid w:val="00F60253"/>
    <w:rsid w:val="00F62B05"/>
    <w:rsid w:val="00F67A4F"/>
    <w:rsid w:val="00F7360C"/>
    <w:rsid w:val="00FA6579"/>
    <w:rsid w:val="00FB7AD1"/>
    <w:rsid w:val="00FC7880"/>
    <w:rsid w:val="00FC7DAA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14ED6"/>
  <w15:chartTrackingRefBased/>
  <w15:docId w15:val="{7B0A51B9-98B6-4766-9453-D7191961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8E1"/>
  </w:style>
  <w:style w:type="paragraph" w:styleId="Pidipagina">
    <w:name w:val="footer"/>
    <w:basedOn w:val="Normale"/>
    <w:link w:val="Pidipagina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28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A1DC0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342D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2D79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342D79"/>
    <w:rPr>
      <w:rFonts w:ascii="Times New Roman" w:hAnsi="Times New Roman" w:cs="Times New Roman" w:hint="default"/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13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73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odato\AppData\Local\Microsoft\Windows\Temporary%20Internet%20Files\Content.IE5\Y3YBNX34\U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28504-C2A1-43A3-9AB8-CD919355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URM.dotx</Template>
  <TotalTime>2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Lodato Bruno</cp:lastModifiedBy>
  <cp:revision>4</cp:revision>
  <cp:lastPrinted>2018-09-03T12:37:00Z</cp:lastPrinted>
  <dcterms:created xsi:type="dcterms:W3CDTF">2020-11-19T07:51:00Z</dcterms:created>
  <dcterms:modified xsi:type="dcterms:W3CDTF">2020-11-19T11:41:00Z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maleonet@microsoft.com</vt:lpwstr>
  </property>
  <property fmtid="{D5CDD505-2E9C-101B-9397-08002B2CF9AE}" pid="5" name="MSIP_Label_f42aa342-8706-4288-bd11-ebb85995028c_SetDate">
    <vt:lpwstr>2018-06-06T09:40:33.4633487Z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