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18E" w:rsidRDefault="001A4E6D" w:rsidP="001A4E6D">
      <w:pPr>
        <w:pStyle w:val="paragraph"/>
        <w:spacing w:before="0" w:beforeAutospacing="0" w:after="0" w:afterAutospacing="0"/>
        <w:ind w:left="720"/>
        <w:jc w:val="center"/>
        <w:textAlignment w:val="baseline"/>
        <w:rPr>
          <w:rFonts w:ascii="Segoe UI" w:hAnsi="Segoe UI" w:cs="Segoe UI"/>
          <w:b/>
          <w:sz w:val="36"/>
          <w:szCs w:val="36"/>
        </w:rPr>
      </w:pPr>
      <w:bookmarkStart w:id="0" w:name="_GoBack"/>
      <w:bookmarkEnd w:id="0"/>
      <w:r>
        <w:rPr>
          <w:rFonts w:ascii="Segoe UI" w:hAnsi="Segoe UI" w:cs="Segoe UI"/>
          <w:b/>
          <w:sz w:val="36"/>
          <w:szCs w:val="36"/>
        </w:rPr>
        <w:t xml:space="preserve">DGUE </w:t>
      </w:r>
    </w:p>
    <w:p w:rsidR="00C66C3E" w:rsidRPr="001A4E6D" w:rsidRDefault="001A4E6D" w:rsidP="001A4E6D">
      <w:pPr>
        <w:pStyle w:val="paragraph"/>
        <w:spacing w:before="0" w:beforeAutospacing="0" w:after="0" w:afterAutospacing="0"/>
        <w:ind w:left="720"/>
        <w:jc w:val="center"/>
        <w:textAlignment w:val="baseline"/>
        <w:rPr>
          <w:rFonts w:ascii="Segoe UI" w:hAnsi="Segoe UI" w:cs="Segoe UI"/>
          <w:sz w:val="36"/>
          <w:szCs w:val="36"/>
        </w:rPr>
      </w:pPr>
      <w:r>
        <w:rPr>
          <w:rFonts w:ascii="Segoe UI" w:hAnsi="Segoe UI" w:cs="Segoe UI"/>
          <w:sz w:val="36"/>
          <w:szCs w:val="36"/>
        </w:rPr>
        <w:t>Modalità di compilazione</w:t>
      </w:r>
    </w:p>
    <w:p w:rsidR="00C66C3E" w:rsidRDefault="00C66C3E" w:rsidP="00C66C3E">
      <w:pPr>
        <w:pStyle w:val="paragraph"/>
        <w:numPr>
          <w:ilvl w:val="0"/>
          <w:numId w:val="1"/>
        </w:numPr>
        <w:spacing w:before="0" w:beforeAutospacing="0" w:after="0" w:afterAutospacing="0"/>
        <w:ind w:left="705" w:firstLine="0"/>
        <w:jc w:val="both"/>
        <w:textAlignment w:val="baseline"/>
        <w:rPr>
          <w:rFonts w:ascii="Segoe UI" w:hAnsi="Segoe UI" w:cs="Segoe UI"/>
          <w:sz w:val="26"/>
          <w:szCs w:val="26"/>
        </w:rPr>
      </w:pPr>
      <w:r>
        <w:rPr>
          <w:rStyle w:val="normaltextrun"/>
          <w:rFonts w:ascii="Calibri Light" w:hAnsi="Calibri Light" w:cs="Calibri Light"/>
          <w:sz w:val="26"/>
          <w:szCs w:val="26"/>
        </w:rPr>
        <w:t xml:space="preserve">Scaricare il file in formato. Xml denominato DGUE elettronico messo a disposizione sul sito internet della Stazione Appaltante </w:t>
      </w:r>
      <w:r w:rsidR="002324CB">
        <w:rPr>
          <w:rStyle w:val="normaltextrun"/>
          <w:rFonts w:ascii="Calibri Light" w:hAnsi="Calibri Light" w:cs="Calibri Light"/>
          <w:sz w:val="26"/>
          <w:szCs w:val="26"/>
        </w:rPr>
        <w:t xml:space="preserve">ANPAL SERVIZI S.P.A. </w:t>
      </w:r>
      <w:r w:rsidR="00482830">
        <w:rPr>
          <w:rStyle w:val="normaltextrun"/>
          <w:rFonts w:ascii="Calibri Light" w:hAnsi="Calibri Light" w:cs="Calibri Light"/>
          <w:sz w:val="26"/>
          <w:szCs w:val="26"/>
        </w:rPr>
        <w:t>sezione</w:t>
      </w:r>
      <w:r w:rsidR="005C2174">
        <w:rPr>
          <w:rStyle w:val="normaltextrun"/>
          <w:rFonts w:ascii="Calibri Light" w:hAnsi="Calibri Light" w:cs="Calibri Light"/>
          <w:sz w:val="26"/>
          <w:szCs w:val="26"/>
        </w:rPr>
        <w:t xml:space="preserve"> B</w:t>
      </w:r>
      <w:r w:rsidR="003A39E4">
        <w:rPr>
          <w:rStyle w:val="normaltextrun"/>
          <w:rFonts w:ascii="Calibri Light" w:hAnsi="Calibri Light" w:cs="Calibri Light"/>
          <w:sz w:val="26"/>
          <w:szCs w:val="26"/>
        </w:rPr>
        <w:t xml:space="preserve">andi (fornitura di beni e servizi) </w:t>
      </w:r>
      <w:r>
        <w:rPr>
          <w:rStyle w:val="eop"/>
          <w:rFonts w:ascii="Calibri Light" w:hAnsi="Calibri Light" w:cs="Calibri Light"/>
          <w:sz w:val="26"/>
          <w:szCs w:val="26"/>
        </w:rPr>
        <w:t> </w:t>
      </w:r>
    </w:p>
    <w:p w:rsidR="00C66C3E" w:rsidRDefault="00C66C3E" w:rsidP="00C66C3E">
      <w:pPr>
        <w:pStyle w:val="paragraph"/>
        <w:numPr>
          <w:ilvl w:val="0"/>
          <w:numId w:val="2"/>
        </w:numPr>
        <w:spacing w:before="0" w:beforeAutospacing="0" w:after="0" w:afterAutospacing="0"/>
        <w:ind w:left="705" w:firstLine="0"/>
        <w:jc w:val="both"/>
        <w:textAlignment w:val="baseline"/>
        <w:rPr>
          <w:rFonts w:ascii="Segoe UI" w:hAnsi="Segoe UI" w:cs="Segoe UI"/>
          <w:sz w:val="26"/>
          <w:szCs w:val="26"/>
        </w:rPr>
      </w:pPr>
      <w:r>
        <w:rPr>
          <w:rStyle w:val="normaltextrun"/>
          <w:rFonts w:ascii="Calibri Light" w:hAnsi="Calibri Light" w:cs="Calibri Light"/>
          <w:sz w:val="26"/>
          <w:szCs w:val="26"/>
        </w:rPr>
        <w:t>Aprire il link </w:t>
      </w:r>
      <w:hyperlink r:id="rId5" w:tgtFrame="_blank" w:history="1">
        <w:r>
          <w:rPr>
            <w:rStyle w:val="normaltextrun"/>
            <w:rFonts w:ascii="Calibri Light" w:hAnsi="Calibri Light" w:cs="Calibri Light"/>
            <w:color w:val="0000FF"/>
            <w:sz w:val="26"/>
            <w:szCs w:val="26"/>
            <w:u w:val="single"/>
          </w:rPr>
          <w:t>https://ec.europa.eu/growth/tools-databases/espd/filter?lang=it</w:t>
        </w:r>
      </w:hyperlink>
      <w:r>
        <w:rPr>
          <w:rStyle w:val="normaltextrun"/>
          <w:rFonts w:ascii="Calibri Light" w:hAnsi="Calibri Light" w:cs="Calibri Light"/>
          <w:sz w:val="26"/>
          <w:szCs w:val="26"/>
        </w:rPr>
        <w:t>, entrare come Operatore Economico, selezionare “importa un DGUE” e caricare il file scaricato di cui al punto 1;</w:t>
      </w:r>
      <w:r>
        <w:rPr>
          <w:rStyle w:val="eop"/>
          <w:rFonts w:ascii="Calibri Light" w:hAnsi="Calibri Light" w:cs="Calibri Light"/>
          <w:sz w:val="26"/>
          <w:szCs w:val="26"/>
        </w:rPr>
        <w:t> </w:t>
      </w:r>
    </w:p>
    <w:p w:rsidR="00C66C3E" w:rsidRDefault="00C66C3E" w:rsidP="00C66C3E">
      <w:pPr>
        <w:pStyle w:val="paragraph"/>
        <w:numPr>
          <w:ilvl w:val="0"/>
          <w:numId w:val="3"/>
        </w:numPr>
        <w:spacing w:before="0" w:beforeAutospacing="0" w:after="0" w:afterAutospacing="0"/>
        <w:ind w:left="705" w:firstLine="0"/>
        <w:jc w:val="both"/>
        <w:textAlignment w:val="baseline"/>
        <w:rPr>
          <w:rFonts w:ascii="Segoe UI" w:hAnsi="Segoe UI" w:cs="Segoe UI"/>
          <w:sz w:val="26"/>
          <w:szCs w:val="26"/>
        </w:rPr>
      </w:pPr>
      <w:r>
        <w:rPr>
          <w:rStyle w:val="normaltextrun"/>
          <w:rFonts w:ascii="Calibri Light" w:hAnsi="Calibri Light" w:cs="Calibri Light"/>
          <w:sz w:val="26"/>
          <w:szCs w:val="26"/>
        </w:rPr>
        <w:t>Compilare il DGUE dalla Parte II sino alla fine;</w:t>
      </w:r>
      <w:r>
        <w:rPr>
          <w:rStyle w:val="eop"/>
          <w:rFonts w:ascii="Calibri Light" w:hAnsi="Calibri Light" w:cs="Calibri Light"/>
          <w:sz w:val="26"/>
          <w:szCs w:val="26"/>
        </w:rPr>
        <w:t> </w:t>
      </w:r>
    </w:p>
    <w:p w:rsidR="00C66C3E" w:rsidRDefault="00C66C3E" w:rsidP="00C66C3E">
      <w:pPr>
        <w:pStyle w:val="paragraph"/>
        <w:numPr>
          <w:ilvl w:val="0"/>
          <w:numId w:val="4"/>
        </w:numPr>
        <w:spacing w:before="0" w:beforeAutospacing="0" w:after="0" w:afterAutospacing="0"/>
        <w:ind w:left="705" w:firstLine="0"/>
        <w:jc w:val="both"/>
        <w:textAlignment w:val="baseline"/>
        <w:rPr>
          <w:rFonts w:ascii="Segoe UI" w:hAnsi="Segoe UI" w:cs="Segoe UI"/>
          <w:sz w:val="26"/>
          <w:szCs w:val="26"/>
        </w:rPr>
      </w:pPr>
      <w:r>
        <w:rPr>
          <w:rStyle w:val="normaltextrun"/>
          <w:rFonts w:ascii="Calibri Light" w:hAnsi="Calibri Light" w:cs="Calibri Light"/>
          <w:sz w:val="26"/>
          <w:szCs w:val="26"/>
        </w:rPr>
        <w:t>Al termine, stampare l’intero documento compilato sottoscriverlo ed allegarlo in formato cartaceo alla documentazione amministrativa;</w:t>
      </w: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Calibri Light" w:hAnsi="Calibri Light" w:cs="Calibri Light"/>
          <w:sz w:val="26"/>
          <w:szCs w:val="26"/>
        </w:rPr>
        <w:t>Per ulteriori approfondimenti si consiglia di consultare il “Regolamento Europeo” per le istruzioni di compilazione al link: </w:t>
      </w:r>
      <w:hyperlink r:id="rId6" w:tgtFrame="_blank" w:history="1">
        <w:r>
          <w:rPr>
            <w:rStyle w:val="normaltextrun"/>
            <w:rFonts w:ascii="Calibri Light" w:hAnsi="Calibri Light" w:cs="Calibri Light"/>
            <w:color w:val="0000FF"/>
            <w:sz w:val="26"/>
            <w:szCs w:val="26"/>
            <w:u w:val="single"/>
          </w:rPr>
          <w:t>http://eur-lex.europa.eu/legal-content/IT/TXT/PDF/?uri=CELEX:32016R0007&amp;from=IT</w:t>
        </w:r>
      </w:hyperlink>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Calibri Light" w:hAnsi="Calibri Light" w:cs="Calibri Light"/>
          <w:sz w:val="26"/>
          <w:szCs w:val="26"/>
        </w:rPr>
        <w:t> Si precisa che le informazioni richieste nella parte II sull’Operatore Economico dovranno essere indicate dal concorrente con riferimento a ciascun campo previsto nelle sezioni A), B), C) e D). Nella parte III, sezione A, il concorrente è chiamato a indicare eventuali provvedimenti di condanna con sentenza definitiva o decreto penale di condanna divenuto irrevocabile o sentenza di applicazione della pena su richiesta ai sensi dell’art. 444 c.p.p., per reati di cui all’elenco formulato all’art.80 del </w:t>
      </w:r>
      <w:proofErr w:type="spellStart"/>
      <w:proofErr w:type="gramStart"/>
      <w:r>
        <w:rPr>
          <w:rStyle w:val="spellingerror"/>
          <w:rFonts w:ascii="Calibri Light" w:hAnsi="Calibri Light" w:cs="Calibri Light"/>
          <w:sz w:val="26"/>
          <w:szCs w:val="26"/>
        </w:rPr>
        <w:t>D.Lgs</w:t>
      </w:r>
      <w:proofErr w:type="gramEnd"/>
      <w:r>
        <w:rPr>
          <w:rStyle w:val="spellingerror"/>
          <w:rFonts w:ascii="Calibri Light" w:hAnsi="Calibri Light" w:cs="Calibri Light"/>
          <w:sz w:val="26"/>
          <w:szCs w:val="26"/>
        </w:rPr>
        <w:t>.</w:t>
      </w:r>
      <w:proofErr w:type="spellEnd"/>
      <w:r>
        <w:rPr>
          <w:rStyle w:val="normaltextrun"/>
          <w:rFonts w:ascii="Calibri Light" w:hAnsi="Calibri Light" w:cs="Calibri Light"/>
          <w:sz w:val="26"/>
          <w:szCs w:val="26"/>
        </w:rPr>
        <w:t> n. 50/2016 e </w:t>
      </w:r>
      <w:proofErr w:type="spellStart"/>
      <w:r>
        <w:rPr>
          <w:rStyle w:val="spellingerror"/>
          <w:rFonts w:ascii="Calibri Light" w:hAnsi="Calibri Light" w:cs="Calibri Light"/>
          <w:sz w:val="26"/>
          <w:szCs w:val="26"/>
        </w:rPr>
        <w:t>s.m.i.</w:t>
      </w:r>
      <w:proofErr w:type="spellEnd"/>
      <w:r>
        <w:rPr>
          <w:rStyle w:val="normaltextrun"/>
          <w:rFonts w:ascii="Calibri Light" w:hAnsi="Calibri Light" w:cs="Calibri Light"/>
          <w:sz w:val="26"/>
          <w:szCs w:val="26"/>
        </w:rPr>
        <w:t> Nell’ipotesi di cui al comma 5 del predetto articolo 80, nel DGUE dovranno essere compilati i campi contrassegnati dalla dicitura “autodisciplina”. </w:t>
      </w: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ind w:left="705"/>
        <w:jc w:val="both"/>
        <w:textAlignment w:val="baseline"/>
        <w:rPr>
          <w:rFonts w:ascii="Segoe UI" w:hAnsi="Segoe UI" w:cs="Segoe UI"/>
          <w:sz w:val="18"/>
          <w:szCs w:val="18"/>
        </w:rPr>
      </w:pP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Calibri Light" w:hAnsi="Calibri Light" w:cs="Calibri Light"/>
          <w:sz w:val="26"/>
          <w:szCs w:val="26"/>
        </w:rPr>
        <w:t>Le Sezioni B e C della parte II dovranno essere compilate in analogia alle indicazioni fornite per la sezione A. Le informazioni richieste dalla parte IV del DGUE riguardano il possesso dei requisiti di carattere giuridico, economico, finanziario e tecnico e devono essere compilati nel rispetto di quanto specificato al precedente articolo 6 del presente Disciplinare.</w:t>
      </w: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b/>
          <w:bCs/>
          <w:sz w:val="26"/>
          <w:szCs w:val="26"/>
        </w:rPr>
        <w:t>Nel caso di avvalimento</w:t>
      </w:r>
      <w:r>
        <w:rPr>
          <w:rStyle w:val="normaltextrun"/>
          <w:rFonts w:ascii="Calibri Light" w:hAnsi="Calibri Light" w:cs="Calibri Light"/>
          <w:sz w:val="26"/>
          <w:szCs w:val="26"/>
        </w:rPr>
        <w:t> di cui all’articolo 89 del </w:t>
      </w:r>
      <w:proofErr w:type="spellStart"/>
      <w:proofErr w:type="gramStart"/>
      <w:r>
        <w:rPr>
          <w:rStyle w:val="spellingerror"/>
          <w:rFonts w:ascii="Calibri Light" w:hAnsi="Calibri Light" w:cs="Calibri Light"/>
          <w:sz w:val="26"/>
          <w:szCs w:val="26"/>
        </w:rPr>
        <w:t>D.Lgs</w:t>
      </w:r>
      <w:proofErr w:type="gramEnd"/>
      <w:r>
        <w:rPr>
          <w:rStyle w:val="spellingerror"/>
          <w:rFonts w:ascii="Calibri Light" w:hAnsi="Calibri Light" w:cs="Calibri Light"/>
          <w:sz w:val="26"/>
          <w:szCs w:val="26"/>
        </w:rPr>
        <w:t>.</w:t>
      </w:r>
      <w:proofErr w:type="spellEnd"/>
      <w:r>
        <w:rPr>
          <w:rStyle w:val="normaltextrun"/>
          <w:rFonts w:ascii="Calibri Light" w:hAnsi="Calibri Light" w:cs="Calibri Light"/>
          <w:color w:val="000000"/>
          <w:sz w:val="26"/>
          <w:szCs w:val="26"/>
        </w:rPr>
        <w:t> </w:t>
      </w:r>
      <w:r>
        <w:rPr>
          <w:rStyle w:val="normaltextrun"/>
          <w:rFonts w:ascii="Calibri Light" w:hAnsi="Calibri Light" w:cs="Calibri Light"/>
          <w:sz w:val="26"/>
          <w:szCs w:val="26"/>
        </w:rPr>
        <w:t>n. 50/2016 e </w:t>
      </w:r>
      <w:proofErr w:type="spellStart"/>
      <w:r>
        <w:rPr>
          <w:rStyle w:val="spellingerror"/>
          <w:rFonts w:ascii="Calibri Light" w:hAnsi="Calibri Light" w:cs="Calibri Light"/>
          <w:sz w:val="26"/>
          <w:szCs w:val="26"/>
        </w:rPr>
        <w:t>s.m.i</w:t>
      </w:r>
      <w:proofErr w:type="spellEnd"/>
      <w:r>
        <w:rPr>
          <w:rStyle w:val="normaltextrun"/>
          <w:rFonts w:ascii="Calibri Light" w:hAnsi="Calibri Light" w:cs="Calibri Light"/>
          <w:sz w:val="26"/>
          <w:szCs w:val="26"/>
        </w:rPr>
        <w:t>, la documentazione di cui al punto precedente, numeri da I a XVI, ad eccezione di quanto previsto al punto XV, dovrà essere presentata anche dall’Impresa Ausiliaria. Ricorrendo tale ipotesi, l’Impresa Ausiliaria dovrà presentare, altresì, la dichiarazione sottoscritta dal Legale Rappresentante, con cui si obbliga verso l’Operatore Economico e verso la Stazione Appaltante a mettere a disposizione per tutta la durata dell’appalto le risorse necessarie di cui è carente l’Operatore Economico. Il pagamento del contributo di cui al punto XV</w:t>
      </w:r>
      <w:r>
        <w:rPr>
          <w:rStyle w:val="normaltextrun"/>
          <w:rFonts w:ascii="Calibri Light" w:hAnsi="Calibri Light" w:cs="Calibri Light"/>
          <w:color w:val="FF0000"/>
          <w:sz w:val="26"/>
          <w:szCs w:val="26"/>
        </w:rPr>
        <w:t> </w:t>
      </w:r>
      <w:r>
        <w:rPr>
          <w:rStyle w:val="normaltextrun"/>
          <w:rFonts w:ascii="Calibri Light" w:hAnsi="Calibri Light" w:cs="Calibri Light"/>
          <w:sz w:val="26"/>
          <w:szCs w:val="26"/>
        </w:rPr>
        <w:t>dovrà essere effettuato dall’Impresa Principale. </w:t>
      </w: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sz w:val="26"/>
          <w:szCs w:val="26"/>
        </w:rPr>
        <w:t>L’Impresa Ausiliaria dovrà, infine, produrre copia autentica del contratto con cui si obbliga nei confronti dell’Operatore Economico a fornire i requisiti ed a mettere a disposizione le risorse necessarie per tutta la durata dell’appalto. </w:t>
      </w:r>
      <w:r>
        <w:rPr>
          <w:rStyle w:val="eop"/>
          <w:rFonts w:ascii="Calibri Light" w:hAnsi="Calibri Light" w:cs="Calibri Light"/>
          <w:sz w:val="26"/>
          <w:szCs w:val="26"/>
        </w:rPr>
        <w:t> </w:t>
      </w:r>
    </w:p>
    <w:p w:rsidR="00C66C3E" w:rsidRDefault="00C66C3E" w:rsidP="00C66C3E">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6"/>
          <w:szCs w:val="26"/>
        </w:rPr>
        <w:lastRenderedPageBreak/>
        <w:t> </w:t>
      </w:r>
      <w:r>
        <w:rPr>
          <w:rStyle w:val="normaltextrun"/>
          <w:rFonts w:ascii="Calibri Light" w:hAnsi="Calibri Light" w:cs="Calibri Light"/>
          <w:sz w:val="26"/>
          <w:szCs w:val="26"/>
        </w:rPr>
        <w:t>Nell’ipotesi in cui gli atti di gara siano sottoscritti dal procuratore dell’Operatore Economico quest’ultimo dovrà presentare a pena di esclusione copia della procura.</w:t>
      </w:r>
    </w:p>
    <w:p w:rsidR="00E54A84" w:rsidRDefault="00E54A84"/>
    <w:sectPr w:rsidR="00E54A8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A7109"/>
    <w:multiLevelType w:val="multilevel"/>
    <w:tmpl w:val="53427C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7B7B74"/>
    <w:multiLevelType w:val="multilevel"/>
    <w:tmpl w:val="E7FAE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83511"/>
    <w:multiLevelType w:val="multilevel"/>
    <w:tmpl w:val="2A16D6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0C549A"/>
    <w:multiLevelType w:val="multilevel"/>
    <w:tmpl w:val="CF50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C3E"/>
    <w:rsid w:val="00167C22"/>
    <w:rsid w:val="001A4E6D"/>
    <w:rsid w:val="002324CB"/>
    <w:rsid w:val="003A39E4"/>
    <w:rsid w:val="00482830"/>
    <w:rsid w:val="004E118E"/>
    <w:rsid w:val="00512239"/>
    <w:rsid w:val="005669DB"/>
    <w:rsid w:val="005C2174"/>
    <w:rsid w:val="00C66C3E"/>
    <w:rsid w:val="00E54A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3A9D0D-5B71-4576-B290-87E3D128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C66C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66C3E"/>
  </w:style>
  <w:style w:type="character" w:customStyle="1" w:styleId="eop">
    <w:name w:val="eop"/>
    <w:basedOn w:val="Carpredefinitoparagrafo"/>
    <w:rsid w:val="00C66C3E"/>
  </w:style>
  <w:style w:type="character" w:customStyle="1" w:styleId="spellingerror">
    <w:name w:val="spellingerror"/>
    <w:basedOn w:val="Carpredefinitoparagrafo"/>
    <w:rsid w:val="00C66C3E"/>
  </w:style>
  <w:style w:type="paragraph" w:styleId="Testofumetto">
    <w:name w:val="Balloon Text"/>
    <w:basedOn w:val="Normale"/>
    <w:link w:val="TestofumettoCarattere"/>
    <w:uiPriority w:val="99"/>
    <w:semiHidden/>
    <w:unhideWhenUsed/>
    <w:rsid w:val="005C21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C21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120081">
      <w:bodyDiv w:val="1"/>
      <w:marLeft w:val="0"/>
      <w:marRight w:val="0"/>
      <w:marTop w:val="0"/>
      <w:marBottom w:val="0"/>
      <w:divBdr>
        <w:top w:val="none" w:sz="0" w:space="0" w:color="auto"/>
        <w:left w:val="none" w:sz="0" w:space="0" w:color="auto"/>
        <w:bottom w:val="none" w:sz="0" w:space="0" w:color="auto"/>
        <w:right w:val="none" w:sz="0" w:space="0" w:color="auto"/>
      </w:divBdr>
      <w:divsChild>
        <w:div w:id="691343147">
          <w:marLeft w:val="0"/>
          <w:marRight w:val="0"/>
          <w:marTop w:val="0"/>
          <w:marBottom w:val="0"/>
          <w:divBdr>
            <w:top w:val="none" w:sz="0" w:space="0" w:color="auto"/>
            <w:left w:val="none" w:sz="0" w:space="0" w:color="auto"/>
            <w:bottom w:val="none" w:sz="0" w:space="0" w:color="auto"/>
            <w:right w:val="none" w:sz="0" w:space="0" w:color="auto"/>
          </w:divBdr>
        </w:div>
        <w:div w:id="577596167">
          <w:marLeft w:val="0"/>
          <w:marRight w:val="0"/>
          <w:marTop w:val="0"/>
          <w:marBottom w:val="0"/>
          <w:divBdr>
            <w:top w:val="none" w:sz="0" w:space="0" w:color="auto"/>
            <w:left w:val="none" w:sz="0" w:space="0" w:color="auto"/>
            <w:bottom w:val="none" w:sz="0" w:space="0" w:color="auto"/>
            <w:right w:val="none" w:sz="0" w:space="0" w:color="auto"/>
          </w:divBdr>
          <w:divsChild>
            <w:div w:id="1616522190">
              <w:marLeft w:val="0"/>
              <w:marRight w:val="0"/>
              <w:marTop w:val="0"/>
              <w:marBottom w:val="0"/>
              <w:divBdr>
                <w:top w:val="none" w:sz="0" w:space="0" w:color="auto"/>
                <w:left w:val="none" w:sz="0" w:space="0" w:color="auto"/>
                <w:bottom w:val="none" w:sz="0" w:space="0" w:color="auto"/>
                <w:right w:val="none" w:sz="0" w:space="0" w:color="auto"/>
              </w:divBdr>
            </w:div>
          </w:divsChild>
        </w:div>
        <w:div w:id="46613625">
          <w:marLeft w:val="0"/>
          <w:marRight w:val="0"/>
          <w:marTop w:val="0"/>
          <w:marBottom w:val="0"/>
          <w:divBdr>
            <w:top w:val="none" w:sz="0" w:space="0" w:color="auto"/>
            <w:left w:val="none" w:sz="0" w:space="0" w:color="auto"/>
            <w:bottom w:val="none" w:sz="0" w:space="0" w:color="auto"/>
            <w:right w:val="none" w:sz="0" w:space="0" w:color="auto"/>
          </w:divBdr>
        </w:div>
        <w:div w:id="1879661155">
          <w:marLeft w:val="0"/>
          <w:marRight w:val="0"/>
          <w:marTop w:val="0"/>
          <w:marBottom w:val="0"/>
          <w:divBdr>
            <w:top w:val="none" w:sz="0" w:space="0" w:color="auto"/>
            <w:left w:val="none" w:sz="0" w:space="0" w:color="auto"/>
            <w:bottom w:val="none" w:sz="0" w:space="0" w:color="auto"/>
            <w:right w:val="none" w:sz="0" w:space="0" w:color="auto"/>
          </w:divBdr>
        </w:div>
        <w:div w:id="695617956">
          <w:marLeft w:val="0"/>
          <w:marRight w:val="0"/>
          <w:marTop w:val="0"/>
          <w:marBottom w:val="0"/>
          <w:divBdr>
            <w:top w:val="none" w:sz="0" w:space="0" w:color="auto"/>
            <w:left w:val="none" w:sz="0" w:space="0" w:color="auto"/>
            <w:bottom w:val="none" w:sz="0" w:space="0" w:color="auto"/>
            <w:right w:val="none" w:sz="0" w:space="0" w:color="auto"/>
          </w:divBdr>
        </w:div>
        <w:div w:id="1199702101">
          <w:marLeft w:val="0"/>
          <w:marRight w:val="0"/>
          <w:marTop w:val="0"/>
          <w:marBottom w:val="0"/>
          <w:divBdr>
            <w:top w:val="none" w:sz="0" w:space="0" w:color="auto"/>
            <w:left w:val="none" w:sz="0" w:space="0" w:color="auto"/>
            <w:bottom w:val="none" w:sz="0" w:space="0" w:color="auto"/>
            <w:right w:val="none" w:sz="0" w:space="0" w:color="auto"/>
          </w:divBdr>
        </w:div>
        <w:div w:id="1073284179">
          <w:marLeft w:val="0"/>
          <w:marRight w:val="0"/>
          <w:marTop w:val="0"/>
          <w:marBottom w:val="0"/>
          <w:divBdr>
            <w:top w:val="none" w:sz="0" w:space="0" w:color="auto"/>
            <w:left w:val="none" w:sz="0" w:space="0" w:color="auto"/>
            <w:bottom w:val="none" w:sz="0" w:space="0" w:color="auto"/>
            <w:right w:val="none" w:sz="0" w:space="0" w:color="auto"/>
          </w:divBdr>
        </w:div>
        <w:div w:id="1632708024">
          <w:marLeft w:val="0"/>
          <w:marRight w:val="0"/>
          <w:marTop w:val="0"/>
          <w:marBottom w:val="0"/>
          <w:divBdr>
            <w:top w:val="none" w:sz="0" w:space="0" w:color="auto"/>
            <w:left w:val="none" w:sz="0" w:space="0" w:color="auto"/>
            <w:bottom w:val="none" w:sz="0" w:space="0" w:color="auto"/>
            <w:right w:val="none" w:sz="0" w:space="0" w:color="auto"/>
          </w:divBdr>
        </w:div>
        <w:div w:id="230385481">
          <w:marLeft w:val="0"/>
          <w:marRight w:val="0"/>
          <w:marTop w:val="0"/>
          <w:marBottom w:val="0"/>
          <w:divBdr>
            <w:top w:val="none" w:sz="0" w:space="0" w:color="auto"/>
            <w:left w:val="none" w:sz="0" w:space="0" w:color="auto"/>
            <w:bottom w:val="none" w:sz="0" w:space="0" w:color="auto"/>
            <w:right w:val="none" w:sz="0" w:space="0" w:color="auto"/>
          </w:divBdr>
        </w:div>
        <w:div w:id="2013601615">
          <w:marLeft w:val="0"/>
          <w:marRight w:val="0"/>
          <w:marTop w:val="0"/>
          <w:marBottom w:val="0"/>
          <w:divBdr>
            <w:top w:val="none" w:sz="0" w:space="0" w:color="auto"/>
            <w:left w:val="none" w:sz="0" w:space="0" w:color="auto"/>
            <w:bottom w:val="none" w:sz="0" w:space="0" w:color="auto"/>
            <w:right w:val="none" w:sz="0" w:space="0" w:color="auto"/>
          </w:divBdr>
        </w:div>
        <w:div w:id="897285335">
          <w:marLeft w:val="0"/>
          <w:marRight w:val="0"/>
          <w:marTop w:val="0"/>
          <w:marBottom w:val="0"/>
          <w:divBdr>
            <w:top w:val="none" w:sz="0" w:space="0" w:color="auto"/>
            <w:left w:val="none" w:sz="0" w:space="0" w:color="auto"/>
            <w:bottom w:val="none" w:sz="0" w:space="0" w:color="auto"/>
            <w:right w:val="none" w:sz="0" w:space="0" w:color="auto"/>
          </w:divBdr>
        </w:div>
        <w:div w:id="1659113211">
          <w:marLeft w:val="0"/>
          <w:marRight w:val="0"/>
          <w:marTop w:val="0"/>
          <w:marBottom w:val="0"/>
          <w:divBdr>
            <w:top w:val="none" w:sz="0" w:space="0" w:color="auto"/>
            <w:left w:val="none" w:sz="0" w:space="0" w:color="auto"/>
            <w:bottom w:val="none" w:sz="0" w:space="0" w:color="auto"/>
            <w:right w:val="none" w:sz="0" w:space="0" w:color="auto"/>
          </w:divBdr>
        </w:div>
        <w:div w:id="1114668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lex.europa.eu/legal-content/IT/TXT/PDF/?uri=CELEX:32016R0007&amp;from=IT" TargetMode="External"/><Relationship Id="rId5" Type="http://schemas.openxmlformats.org/officeDocument/2006/relationships/hyperlink" Target="https://ec.europa.eu/growth/tools-databases/espd/filter?lang=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Italia Lavoro S.p.A.</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Capogna</dc:creator>
  <cp:keywords/>
  <dc:description/>
  <cp:lastModifiedBy>Manuela Del Vescovo</cp:lastModifiedBy>
  <cp:revision>2</cp:revision>
  <cp:lastPrinted>2018-09-19T09:22:00Z</cp:lastPrinted>
  <dcterms:created xsi:type="dcterms:W3CDTF">2019-04-29T13:29:00Z</dcterms:created>
  <dcterms:modified xsi:type="dcterms:W3CDTF">2019-04-29T13:29:00Z</dcterms:modified>
</cp:coreProperties>
</file>